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0A5C" w14:textId="77777777" w:rsidR="00C11B80" w:rsidRDefault="008323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 Course Checklist  </w:t>
      </w:r>
    </w:p>
    <w:p w14:paraId="594448C8" w14:textId="77777777" w:rsidR="00C11B80" w:rsidRDefault="0083236D">
      <w:pPr>
        <w:rPr>
          <w:b/>
        </w:rPr>
      </w:pPr>
      <w:r>
        <w:rPr>
          <w:b/>
        </w:rPr>
        <w:t xml:space="preserve">Required course elements: </w:t>
      </w:r>
    </w:p>
    <w:p w14:paraId="2BA906EF" w14:textId="77777777" w:rsidR="00C11B80" w:rsidRDefault="0083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Embodied Faith/Mission</w:t>
      </w:r>
      <w:r>
        <w:t xml:space="preserve"> (Faith integr</w:t>
      </w:r>
      <w:r>
        <w:t xml:space="preserve">ation, Christian practices, vocation/calling </w:t>
      </w:r>
      <w:proofErr w:type="spellStart"/>
      <w:r>
        <w:t>etc</w:t>
      </w:r>
      <w:proofErr w:type="spellEnd"/>
      <w:r>
        <w:t>…)</w:t>
      </w:r>
    </w:p>
    <w:p w14:paraId="0E7BD658" w14:textId="77777777" w:rsidR="00C11B80" w:rsidRDefault="0083236D">
      <w:pPr>
        <w:rPr>
          <w:b/>
        </w:rPr>
      </w:pPr>
      <w:r>
        <w:rPr>
          <w:b/>
        </w:rPr>
        <w:t>Each week should contain:</w:t>
      </w:r>
    </w:p>
    <w:p w14:paraId="3FDAA770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Three graded submissions </w:t>
      </w:r>
      <w:r>
        <w:t>during the week with different due dates (discussions, assignments, quizzes, one can be attendance in a Zoom or F2F session, anything that is graded)</w:t>
      </w:r>
    </w:p>
    <w:p w14:paraId="425659BD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Of the three, a </w:t>
      </w:r>
      <w:r>
        <w:rPr>
          <w:b/>
        </w:rPr>
        <w:t>minimum of two</w:t>
      </w:r>
      <w:r>
        <w:t xml:space="preserve"> must include student-to-student interaction (Zoom or F2F session counts as </w:t>
      </w:r>
      <w:r>
        <w:t>one, a discussion, group assignment, collaborations, shared digital boards, social media updates, etc.)</w:t>
      </w:r>
    </w:p>
    <w:p w14:paraId="05BD90A3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Online Synchronous or F2F sessions need agendas communicating how content is tied to the online portion of the course. </w:t>
      </w:r>
    </w:p>
    <w:p w14:paraId="5462830C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Clear explicit instructions in o</w:t>
      </w:r>
      <w:r>
        <w:t>nline graded content</w:t>
      </w:r>
      <w:r>
        <w:t xml:space="preserve"> this includes: homework, discussion boards, assignments, group work </w:t>
      </w:r>
      <w:proofErr w:type="spellStart"/>
      <w:r>
        <w:t>etc</w:t>
      </w:r>
      <w:proofErr w:type="spellEnd"/>
    </w:p>
    <w:p w14:paraId="624A4849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These should all have </w:t>
      </w:r>
      <w:r>
        <w:t>grading rubrics or checklists.</w:t>
      </w:r>
    </w:p>
    <w:p w14:paraId="56C40C0F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ID team can help develop rubrics or checklists and we currently have general rubrics available for use</w:t>
      </w:r>
    </w:p>
    <w:p w14:paraId="3A0F78BC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Weekly </w:t>
      </w:r>
      <w:r>
        <w:t>Overviews</w:t>
      </w:r>
    </w:p>
    <w:p w14:paraId="7E97A39A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Quick overview (text or video) letting students know what the week includes.  A bit like standing in front of the room and saying “this week we will…”</w:t>
      </w:r>
    </w:p>
    <w:p w14:paraId="1A6C4CF3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Weekly learning outcomes aligned to course learning outcomes</w:t>
      </w:r>
    </w:p>
    <w:p w14:paraId="47D0BF73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Required Reading and resources</w:t>
      </w:r>
    </w:p>
    <w:p w14:paraId="2E4D68F5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Recommended Resources (optional)</w:t>
      </w:r>
    </w:p>
    <w:p w14:paraId="6AC05219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Estimated time it will take to complete work for the week</w:t>
      </w:r>
    </w:p>
    <w:p w14:paraId="6F1A73C7" w14:textId="77777777" w:rsidR="00C11B80" w:rsidRDefault="008323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Example: </w:t>
      </w:r>
      <w:r>
        <w:rPr>
          <w:b/>
          <w:i/>
        </w:rPr>
        <w:t>Participating in this week's activities and completing the assignments will take approximately 18 hours.</w:t>
      </w:r>
      <w:r>
        <w:t xml:space="preserve"> </w:t>
      </w:r>
    </w:p>
    <w:p w14:paraId="64D88C4E" w14:textId="77777777" w:rsidR="00C11B80" w:rsidRDefault="0083236D">
      <w:pPr>
        <w:rPr>
          <w:b/>
        </w:rPr>
      </w:pPr>
      <w:r>
        <w:rPr>
          <w:b/>
        </w:rPr>
        <w:t xml:space="preserve">Syllabus must contain the following: </w:t>
      </w:r>
    </w:p>
    <w:p w14:paraId="628B85A5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Course Description</w:t>
      </w:r>
    </w:p>
    <w:p w14:paraId="1D92E7B4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Course Learning Outcomes</w:t>
      </w:r>
    </w:p>
    <w:p w14:paraId="27CFB949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Instructor Contact Information</w:t>
      </w:r>
    </w:p>
    <w:p w14:paraId="6703F7A4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Required Textbooks/ supplies</w:t>
      </w:r>
    </w:p>
    <w:p w14:paraId="1E402B6B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Grading policy including grading scale and either points or weighted grades</w:t>
      </w:r>
    </w:p>
    <w:p w14:paraId="1ECE5D5F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Expectations for late or incomplete work </w:t>
      </w:r>
    </w:p>
    <w:p w14:paraId="6DE0D382" w14:textId="77777777" w:rsidR="00C11B80" w:rsidRDefault="0083236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PLNU policies as provided in syllabus template</w:t>
      </w:r>
    </w:p>
    <w:p w14:paraId="651F25CC" w14:textId="77777777" w:rsidR="00C11B80" w:rsidRDefault="00832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</w:rPr>
        <w:t>All courses must be ADA compliant</w:t>
      </w:r>
    </w:p>
    <w:p w14:paraId="76FA01CF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Self-describing links</w:t>
      </w:r>
    </w:p>
    <w:p w14:paraId="70246851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Use bullet and number list features within Canvas Rich Text Editor</w:t>
      </w:r>
    </w:p>
    <w:p w14:paraId="3FC2F106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Table must have labels</w:t>
      </w:r>
    </w:p>
    <w:p w14:paraId="34A547ED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 non-</w:t>
      </w:r>
      <w:proofErr w:type="gramStart"/>
      <w:r>
        <w:rPr>
          <w:color w:val="000000"/>
        </w:rPr>
        <w:t>decorative  images</w:t>
      </w:r>
      <w:proofErr w:type="gramEnd"/>
      <w:r>
        <w:rPr>
          <w:color w:val="000000"/>
        </w:rPr>
        <w:t xml:space="preserve"> must have alternative text</w:t>
      </w:r>
      <w:r>
        <w:rPr>
          <w:color w:val="000000"/>
        </w:rPr>
        <w:tab/>
      </w:r>
    </w:p>
    <w:p w14:paraId="43C51348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If an image is providing content (e.g. tables), a caption or transcript is required</w:t>
      </w:r>
    </w:p>
    <w:p w14:paraId="7A81963B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Video and audio must have transcription or closed caption</w:t>
      </w:r>
    </w:p>
    <w:p w14:paraId="586D56E9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not use underlining in the online environment to bring attention to text as it indicates a live link. </w:t>
      </w:r>
    </w:p>
    <w:p w14:paraId="75ABFDAF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 not u</w:t>
      </w:r>
      <w:r>
        <w:rPr>
          <w:color w:val="000000"/>
        </w:rPr>
        <w:t xml:space="preserve">se color to identify content information. </w:t>
      </w:r>
    </w:p>
    <w:p w14:paraId="623028FE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Scanned documents are not ADA or often copyright compliant</w:t>
      </w:r>
    </w:p>
    <w:p w14:paraId="6CA19361" w14:textId="77777777" w:rsidR="00C11B80" w:rsidRDefault="00C11B80"/>
    <w:p w14:paraId="4899363F" w14:textId="315268FC" w:rsidR="00C11B80" w:rsidRPr="0083236D" w:rsidRDefault="0083236D">
      <w:r>
        <w:br w:type="page"/>
      </w:r>
      <w:bookmarkStart w:id="0" w:name="_GoBack"/>
      <w:bookmarkEnd w:id="0"/>
      <w:r>
        <w:rPr>
          <w:b/>
          <w:sz w:val="28"/>
          <w:szCs w:val="28"/>
        </w:rPr>
        <w:lastRenderedPageBreak/>
        <w:t xml:space="preserve">Online Course Checklist  </w:t>
      </w:r>
    </w:p>
    <w:p w14:paraId="38C2F7F0" w14:textId="77777777" w:rsidR="00C11B80" w:rsidRDefault="0083236D">
      <w:pPr>
        <w:rPr>
          <w:b/>
        </w:rPr>
      </w:pPr>
      <w:r>
        <w:rPr>
          <w:b/>
        </w:rPr>
        <w:t>Required course elements:</w:t>
      </w:r>
    </w:p>
    <w:p w14:paraId="2AAE7EFE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 to get started on the home or landing page</w:t>
      </w:r>
    </w:p>
    <w:p w14:paraId="034A90B9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Ask Your Instructor forum</w:t>
      </w:r>
    </w:p>
    <w:p w14:paraId="5E9EB065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Will be included in the template assigned to your department</w:t>
      </w:r>
    </w:p>
    <w:p w14:paraId="08E1EC76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Course Orientation providing students with navigation instructions and important course information.</w:t>
      </w:r>
    </w:p>
    <w:p w14:paraId="5E392635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Meet Your Instructor page</w:t>
      </w:r>
    </w:p>
    <w:p w14:paraId="517BBA10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Will be included in the template assigned to your department</w:t>
      </w:r>
    </w:p>
    <w:p w14:paraId="129DC67E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Introduction or Ice Breaker Discussion or Interaction</w:t>
      </w:r>
    </w:p>
    <w:p w14:paraId="49D4789C" w14:textId="77777777" w:rsidR="00C11B80" w:rsidRDefault="0083236D">
      <w:pPr>
        <w:numPr>
          <w:ilvl w:val="0"/>
          <w:numId w:val="2"/>
        </w:numPr>
      </w:pPr>
      <w:r>
        <w:t xml:space="preserve">Embodied Faith/Mission (Faith integration, Christian practices, vocation/calling </w:t>
      </w:r>
      <w:proofErr w:type="spellStart"/>
      <w:r>
        <w:t>etc</w:t>
      </w:r>
      <w:proofErr w:type="spellEnd"/>
      <w:r>
        <w:t>…)</w:t>
      </w:r>
    </w:p>
    <w:p w14:paraId="7723D248" w14:textId="77777777" w:rsidR="00C11B80" w:rsidRDefault="00C11B80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4471DA7" w14:textId="77777777" w:rsidR="00C11B80" w:rsidRDefault="0083236D">
      <w:pPr>
        <w:rPr>
          <w:b/>
        </w:rPr>
      </w:pPr>
      <w:r>
        <w:rPr>
          <w:b/>
        </w:rPr>
        <w:t>Each week must contain:</w:t>
      </w:r>
    </w:p>
    <w:p w14:paraId="27494F22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Three graded submissions </w:t>
      </w:r>
      <w:r>
        <w:t>during the week with different due dates (discussions, assignment</w:t>
      </w:r>
      <w:r>
        <w:t>s, quizzes, anything that is graded)</w:t>
      </w:r>
    </w:p>
    <w:p w14:paraId="426D9F6C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Of the three, a </w:t>
      </w:r>
      <w:r>
        <w:rPr>
          <w:b/>
        </w:rPr>
        <w:t>minimum of two</w:t>
      </w:r>
      <w:r>
        <w:t xml:space="preserve"> must include student-to-student interaction (discussions, group assignments, collaborations, shared digital boards, social media updates, etc.)</w:t>
      </w:r>
    </w:p>
    <w:p w14:paraId="0289C46F" w14:textId="77777777" w:rsidR="00C11B80" w:rsidRDefault="0083236D">
      <w:pPr>
        <w:numPr>
          <w:ilvl w:val="0"/>
          <w:numId w:val="2"/>
        </w:numPr>
        <w:spacing w:after="0"/>
      </w:pPr>
      <w:r>
        <w:t xml:space="preserve">Clear explicit instructions in online graded content this includes: homework, discussion boards, assignments, group work </w:t>
      </w:r>
      <w:proofErr w:type="spellStart"/>
      <w:r>
        <w:t>etc</w:t>
      </w:r>
      <w:proofErr w:type="spellEnd"/>
    </w:p>
    <w:p w14:paraId="7A4193C3" w14:textId="77777777" w:rsidR="00C11B80" w:rsidRDefault="0083236D">
      <w:pPr>
        <w:numPr>
          <w:ilvl w:val="1"/>
          <w:numId w:val="2"/>
        </w:numPr>
        <w:spacing w:after="0"/>
      </w:pPr>
      <w:r>
        <w:t>These should all have grading rubrics or checklists.</w:t>
      </w:r>
    </w:p>
    <w:p w14:paraId="40CE9DF2" w14:textId="77777777" w:rsidR="00C11B80" w:rsidRDefault="0083236D">
      <w:pPr>
        <w:numPr>
          <w:ilvl w:val="1"/>
          <w:numId w:val="2"/>
        </w:numPr>
        <w:spacing w:after="0"/>
      </w:pPr>
      <w:r>
        <w:t>ID team can help develop rubrics or checklists and we currently have general r</w:t>
      </w:r>
      <w:r>
        <w:t>ubrics available for use</w:t>
      </w:r>
    </w:p>
    <w:p w14:paraId="518E324B" w14:textId="77777777" w:rsidR="00C11B80" w:rsidRDefault="0083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Weekly Overviews</w:t>
      </w:r>
    </w:p>
    <w:p w14:paraId="572C37DE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Quick overview (text or video) letting students know what the week includes.  A bit like standing in front of the room and saying “this week we will…”</w:t>
      </w:r>
    </w:p>
    <w:p w14:paraId="56682A92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Weekly learning outcomes aligned to course learning outcomes</w:t>
      </w:r>
    </w:p>
    <w:p w14:paraId="75360498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</w:t>
      </w:r>
      <w:r>
        <w:t>quired Reading and resources</w:t>
      </w:r>
    </w:p>
    <w:p w14:paraId="345B2817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Recommended Resources (optional)</w:t>
      </w:r>
    </w:p>
    <w:p w14:paraId="281DD159" w14:textId="77777777" w:rsidR="00C11B80" w:rsidRDefault="008323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Estimated time it will take to complete work for the week</w:t>
      </w:r>
    </w:p>
    <w:p w14:paraId="1AF518C1" w14:textId="77777777" w:rsidR="00C11B80" w:rsidRDefault="008323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Example: </w:t>
      </w:r>
      <w:r>
        <w:rPr>
          <w:b/>
          <w:i/>
        </w:rPr>
        <w:t>Participating in this week's activities and completing the assignments will take approximately 18 hours.</w:t>
      </w:r>
    </w:p>
    <w:p w14:paraId="47C35A49" w14:textId="77777777" w:rsidR="00C11B80" w:rsidRDefault="0083236D">
      <w:pPr>
        <w:spacing w:line="240" w:lineRule="auto"/>
        <w:rPr>
          <w:b/>
        </w:rPr>
      </w:pPr>
      <w:r>
        <w:rPr>
          <w:b/>
        </w:rPr>
        <w:t xml:space="preserve">Syllabus must contain the following: </w:t>
      </w:r>
    </w:p>
    <w:p w14:paraId="2C6B88E0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Course Description</w:t>
      </w:r>
    </w:p>
    <w:p w14:paraId="346EB17F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Course Learning Outcomes</w:t>
      </w:r>
    </w:p>
    <w:p w14:paraId="159C30DA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Instructor Contact Information</w:t>
      </w:r>
    </w:p>
    <w:p w14:paraId="240ADB43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Required Textbooks/ supplies</w:t>
      </w:r>
    </w:p>
    <w:p w14:paraId="4F8A586E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Grading policy including grading scale and either points or weighted grades</w:t>
      </w:r>
    </w:p>
    <w:p w14:paraId="096F4B8E" w14:textId="77777777" w:rsidR="00C11B80" w:rsidRDefault="0083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Expectations for late or incomplete wo</w:t>
      </w:r>
      <w:r>
        <w:t xml:space="preserve">rk </w:t>
      </w:r>
    </w:p>
    <w:p w14:paraId="0DB24707" w14:textId="77777777" w:rsidR="00C11B80" w:rsidRDefault="0083236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PLNU policies as provided in syllabus template</w:t>
      </w:r>
    </w:p>
    <w:p w14:paraId="0B5B931D" w14:textId="77777777" w:rsidR="00C11B80" w:rsidRDefault="00832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All courses must be ADA compliant</w:t>
      </w:r>
    </w:p>
    <w:p w14:paraId="53278285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Self-describing links</w:t>
      </w:r>
    </w:p>
    <w:p w14:paraId="2DC710FE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Use bullet and number list features within Canvas Rich Text Editor</w:t>
      </w:r>
    </w:p>
    <w:p w14:paraId="48E3B099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Table must have labels</w:t>
      </w:r>
    </w:p>
    <w:p w14:paraId="61FAACA1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 non-</w:t>
      </w:r>
      <w:proofErr w:type="gramStart"/>
      <w:r>
        <w:t>decorative  images</w:t>
      </w:r>
      <w:proofErr w:type="gramEnd"/>
      <w:r>
        <w:t xml:space="preserve"> must have alternative text</w:t>
      </w:r>
      <w:r>
        <w:tab/>
      </w:r>
    </w:p>
    <w:p w14:paraId="68BD8E87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If an image is providing content (e.g. tables), a caption or transcript is required</w:t>
      </w:r>
    </w:p>
    <w:p w14:paraId="4B11BC6A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Video and audio must have transcription or closed caption</w:t>
      </w:r>
    </w:p>
    <w:p w14:paraId="02761384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Do not use underlining in the online environment to bring attention to text as it indicates a live link. </w:t>
      </w:r>
    </w:p>
    <w:p w14:paraId="06D75CBD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Do not use color to identify content information. </w:t>
      </w:r>
    </w:p>
    <w:p w14:paraId="0F0D7178" w14:textId="77777777" w:rsidR="00C11B80" w:rsidRDefault="0083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Scanned documents are not ADA or often copyright compliant</w:t>
      </w:r>
    </w:p>
    <w:p w14:paraId="11C6B28C" w14:textId="77777777" w:rsidR="00C11B80" w:rsidRDefault="00C11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EBC64AA" w14:textId="77777777" w:rsidR="00C11B80" w:rsidRDefault="0083236D">
      <w:pPr>
        <w:rPr>
          <w:b/>
        </w:rPr>
      </w:pPr>
      <w:r>
        <w:rPr>
          <w:b/>
        </w:rPr>
        <w:t xml:space="preserve">Examples: </w:t>
      </w:r>
    </w:p>
    <w:p w14:paraId="6C6E87A3" w14:textId="77777777" w:rsidR="00C11B80" w:rsidRDefault="0083236D">
      <w:r>
        <w:t>Weekly Overview page…</w:t>
      </w:r>
    </w:p>
    <w:p w14:paraId="67567169" w14:textId="77777777" w:rsidR="00C11B80" w:rsidRDefault="0083236D">
      <w:r>
        <w:rPr>
          <w:noProof/>
        </w:rPr>
        <w:drawing>
          <wp:inline distT="0" distB="0" distL="0" distR="0" wp14:anchorId="3B21ECE6" wp14:editId="1F8A0A66">
            <wp:extent cx="6557869" cy="3506638"/>
            <wp:effectExtent l="0" t="0" r="0" b="0"/>
            <wp:docPr id="1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7869" cy="3506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9AEAB" w14:textId="77777777" w:rsidR="00C11B80" w:rsidRDefault="00C11B80"/>
    <w:p w14:paraId="77BEDB0A" w14:textId="77777777" w:rsidR="00C11B80" w:rsidRDefault="0083236D">
      <w:r>
        <w:t>Meet Your Instructor…</w:t>
      </w:r>
    </w:p>
    <w:p w14:paraId="6FE617D3" w14:textId="77777777" w:rsidR="00C11B80" w:rsidRDefault="0083236D">
      <w:r>
        <w:rPr>
          <w:noProof/>
        </w:rPr>
        <w:lastRenderedPageBreak/>
        <w:drawing>
          <wp:inline distT="0" distB="0" distL="0" distR="0" wp14:anchorId="0DBDB28A" wp14:editId="4177168C">
            <wp:extent cx="5943600" cy="3321685"/>
            <wp:effectExtent l="0" t="0" r="0" b="0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E9F8" w14:textId="77777777" w:rsidR="00C11B80" w:rsidRDefault="00C11B80"/>
    <w:p w14:paraId="7B18B3B8" w14:textId="77777777" w:rsidR="00C11B80" w:rsidRDefault="00C11B80"/>
    <w:p w14:paraId="7DB397DF" w14:textId="77777777" w:rsidR="00C11B80" w:rsidRDefault="00C11B80"/>
    <w:p w14:paraId="6DD633EE" w14:textId="77777777" w:rsidR="00C11B80" w:rsidRDefault="00C11B80"/>
    <w:p w14:paraId="4D931D48" w14:textId="77777777" w:rsidR="00C11B80" w:rsidRDefault="0083236D">
      <w:r>
        <w:t>Course Orientation…</w:t>
      </w:r>
    </w:p>
    <w:p w14:paraId="1FD73BAF" w14:textId="77777777" w:rsidR="00C11B80" w:rsidRDefault="0083236D">
      <w:r>
        <w:rPr>
          <w:noProof/>
        </w:rPr>
        <w:drawing>
          <wp:inline distT="0" distB="0" distL="0" distR="0" wp14:anchorId="10A8DE77" wp14:editId="396B3A65">
            <wp:extent cx="6631501" cy="3496417"/>
            <wp:effectExtent l="0" t="0" r="0" b="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1501" cy="3496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196AF7" w14:textId="77777777" w:rsidR="00C11B80" w:rsidRDefault="0083236D">
      <w:r>
        <w:rPr>
          <w:noProof/>
        </w:rPr>
        <w:lastRenderedPageBreak/>
        <w:drawing>
          <wp:inline distT="0" distB="0" distL="0" distR="0" wp14:anchorId="61AC1340" wp14:editId="216B60EF">
            <wp:extent cx="6683163" cy="4126996"/>
            <wp:effectExtent l="0" t="0" r="0" b="0"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3163" cy="4126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936A9" w14:textId="77777777" w:rsidR="00C11B80" w:rsidRDefault="00C11B80">
      <w:pPr>
        <w:rPr>
          <w:b/>
        </w:rPr>
      </w:pPr>
    </w:p>
    <w:p w14:paraId="2122BC53" w14:textId="77777777" w:rsidR="00C11B80" w:rsidRDefault="00C11B80">
      <w:pPr>
        <w:rPr>
          <w:b/>
        </w:rPr>
      </w:pPr>
    </w:p>
    <w:p w14:paraId="4C9F8834" w14:textId="77777777" w:rsidR="00C11B80" w:rsidRDefault="00C11B80">
      <w:pPr>
        <w:rPr>
          <w:b/>
        </w:rPr>
      </w:pPr>
    </w:p>
    <w:p w14:paraId="1F391ABE" w14:textId="77777777" w:rsidR="00C11B80" w:rsidRDefault="00C11B80">
      <w:pPr>
        <w:rPr>
          <w:b/>
        </w:rPr>
      </w:pPr>
    </w:p>
    <w:p w14:paraId="6CC3BB6B" w14:textId="77777777" w:rsidR="00C11B80" w:rsidRDefault="0083236D">
      <w:pPr>
        <w:rPr>
          <w:b/>
        </w:rPr>
      </w:pPr>
      <w:r>
        <w:rPr>
          <w:b/>
        </w:rPr>
        <w:t>Introduction discussion…</w:t>
      </w:r>
    </w:p>
    <w:p w14:paraId="2BF9F441" w14:textId="77777777" w:rsidR="00C11B80" w:rsidRDefault="0083236D">
      <w:pPr>
        <w:rPr>
          <w:b/>
        </w:rPr>
      </w:pPr>
      <w:r>
        <w:rPr>
          <w:b/>
          <w:noProof/>
        </w:rPr>
        <w:drawing>
          <wp:inline distT="0" distB="0" distL="0" distR="0" wp14:anchorId="2F726CC5" wp14:editId="53C38108">
            <wp:extent cx="6351128" cy="2842650"/>
            <wp:effectExtent l="0" t="0" r="0" b="0"/>
            <wp:docPr id="1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1128" cy="284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C292C" w14:textId="77777777" w:rsidR="00C11B80" w:rsidRDefault="00C11B80">
      <w:pPr>
        <w:rPr>
          <w:b/>
        </w:rPr>
      </w:pPr>
    </w:p>
    <w:p w14:paraId="6664425E" w14:textId="77777777" w:rsidR="00C11B80" w:rsidRDefault="00C11B80">
      <w:pPr>
        <w:rPr>
          <w:b/>
        </w:rPr>
      </w:pPr>
    </w:p>
    <w:p w14:paraId="2F52F1A2" w14:textId="77777777" w:rsidR="00C11B80" w:rsidRDefault="0083236D">
      <w:pPr>
        <w:rPr>
          <w:b/>
        </w:rPr>
      </w:pPr>
      <w:bookmarkStart w:id="1" w:name="_heading=h.gjdgxs" w:colFirst="0" w:colLast="0"/>
      <w:bookmarkEnd w:id="1"/>
      <w:r>
        <w:rPr>
          <w:b/>
        </w:rPr>
        <w:lastRenderedPageBreak/>
        <w:t>Faith integration…</w:t>
      </w:r>
    </w:p>
    <w:p w14:paraId="1C0C9365" w14:textId="77777777" w:rsidR="00C11B80" w:rsidRDefault="0083236D">
      <w:pPr>
        <w:rPr>
          <w:b/>
        </w:rPr>
      </w:pPr>
      <w:r>
        <w:rPr>
          <w:b/>
          <w:noProof/>
        </w:rPr>
        <w:drawing>
          <wp:inline distT="0" distB="0" distL="0" distR="0" wp14:anchorId="0E39E3FB" wp14:editId="5DEBC004">
            <wp:extent cx="6678238" cy="2280358"/>
            <wp:effectExtent l="0" t="0" r="0" b="0"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8238" cy="2280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F3E5E" w14:textId="77777777" w:rsidR="00C11B80" w:rsidRDefault="00C11B80">
      <w:pPr>
        <w:rPr>
          <w:b/>
        </w:rPr>
      </w:pPr>
    </w:p>
    <w:p w14:paraId="11886A3A" w14:textId="77777777" w:rsidR="00C11B80" w:rsidRDefault="00C11B80">
      <w:pPr>
        <w:rPr>
          <w:b/>
        </w:rPr>
      </w:pPr>
    </w:p>
    <w:p w14:paraId="395FF0E3" w14:textId="77777777" w:rsidR="00C11B80" w:rsidRDefault="00C11B80">
      <w:pPr>
        <w:rPr>
          <w:b/>
        </w:rPr>
      </w:pPr>
    </w:p>
    <w:p w14:paraId="30A908AF" w14:textId="77777777" w:rsidR="00C11B80" w:rsidRDefault="00C11B80">
      <w:pPr>
        <w:rPr>
          <w:b/>
        </w:rPr>
      </w:pPr>
    </w:p>
    <w:p w14:paraId="5FBF01B5" w14:textId="77777777" w:rsidR="00C11B80" w:rsidRDefault="00C11B80">
      <w:pPr>
        <w:rPr>
          <w:b/>
        </w:rPr>
      </w:pPr>
    </w:p>
    <w:p w14:paraId="3DB15851" w14:textId="77777777" w:rsidR="00C11B80" w:rsidRDefault="00C11B80">
      <w:pPr>
        <w:rPr>
          <w:b/>
        </w:rPr>
      </w:pPr>
    </w:p>
    <w:p w14:paraId="5795F3EA" w14:textId="77777777" w:rsidR="00C11B80" w:rsidRDefault="00C11B80">
      <w:pPr>
        <w:rPr>
          <w:b/>
        </w:rPr>
      </w:pPr>
    </w:p>
    <w:p w14:paraId="2EBB45B4" w14:textId="77777777" w:rsidR="00C11B80" w:rsidRDefault="00C11B80">
      <w:pPr>
        <w:rPr>
          <w:b/>
        </w:rPr>
      </w:pPr>
    </w:p>
    <w:p w14:paraId="616DE13B" w14:textId="77777777" w:rsidR="00C11B80" w:rsidRDefault="0083236D">
      <w:pPr>
        <w:rPr>
          <w:b/>
        </w:rPr>
      </w:pPr>
      <w:r>
        <w:rPr>
          <w:b/>
        </w:rPr>
        <w:t>Syllabus Weighted Grades ….</w:t>
      </w:r>
    </w:p>
    <w:p w14:paraId="4F668247" w14:textId="77777777" w:rsidR="00C11B80" w:rsidRDefault="0083236D">
      <w:pPr>
        <w:rPr>
          <w:b/>
        </w:rPr>
      </w:pPr>
      <w:r>
        <w:rPr>
          <w:b/>
          <w:noProof/>
        </w:rPr>
        <w:drawing>
          <wp:inline distT="0" distB="0" distL="0" distR="0" wp14:anchorId="38323D42" wp14:editId="7A64E4B7">
            <wp:extent cx="6558919" cy="3507239"/>
            <wp:effectExtent l="0" t="0" r="0" b="0"/>
            <wp:docPr id="2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8919" cy="3507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0C293" w14:textId="77777777" w:rsidR="00C11B80" w:rsidRDefault="0083236D">
      <w:pPr>
        <w:rPr>
          <w:b/>
        </w:rPr>
      </w:pPr>
      <w:r>
        <w:rPr>
          <w:b/>
        </w:rPr>
        <w:t>Syllabus Points….</w:t>
      </w:r>
    </w:p>
    <w:p w14:paraId="745540A4" w14:textId="77777777" w:rsidR="00C11B80" w:rsidRDefault="0083236D">
      <w:pPr>
        <w:pStyle w:val="Heading2"/>
        <w:ind w:firstLine="260"/>
        <w:rPr>
          <w:rFonts w:ascii="Arial" w:eastAsia="Arial" w:hAnsi="Arial" w:cs="Arial"/>
          <w:color w:val="323E4F"/>
          <w:sz w:val="20"/>
          <w:szCs w:val="20"/>
        </w:rPr>
      </w:pPr>
      <w:r>
        <w:rPr>
          <w:rFonts w:ascii="Arial" w:eastAsia="Arial" w:hAnsi="Arial" w:cs="Arial"/>
          <w:color w:val="323E4F"/>
          <w:sz w:val="20"/>
          <w:szCs w:val="20"/>
        </w:rPr>
        <w:lastRenderedPageBreak/>
        <w:t>ASSESSMENT AND GRADING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BA73539" wp14:editId="28B17F2F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437630" cy="12700"/>
                <wp:effectExtent l="0" t="0" r="0" b="0"/>
                <wp:wrapTopAndBottom distT="0" dist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185" y="3778413"/>
                          <a:ext cx="643763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68FFBF" w14:textId="77777777" w:rsidR="00C11B80" w:rsidRDefault="00C11B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437630" cy="12700"/>
                <wp:effectExtent b="0" l="0" r="0" t="0"/>
                <wp:wrapTopAndBottom distB="0" distT="0"/>
                <wp:docPr id="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6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9DB91C" w14:textId="77777777" w:rsidR="00C11B80" w:rsidRDefault="0083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6" w:lineRule="auto"/>
        <w:ind w:left="260" w:right="585"/>
        <w:rPr>
          <w:rFonts w:ascii="Arial" w:eastAsia="Arial" w:hAnsi="Arial" w:cs="Arial"/>
          <w:color w:val="323E4F"/>
          <w:sz w:val="20"/>
          <w:szCs w:val="20"/>
        </w:rPr>
      </w:pPr>
      <w:r>
        <w:rPr>
          <w:rFonts w:ascii="Arial" w:eastAsia="Arial" w:hAnsi="Arial" w:cs="Arial"/>
          <w:color w:val="323E4F"/>
          <w:sz w:val="20"/>
          <w:szCs w:val="20"/>
        </w:rPr>
        <w:t>Students are expected to attend all class sessions, participate in class activities, complete exams as scheduled, and turn in assignments on time, or risk the loss of points. A</w:t>
      </w:r>
      <w:r>
        <w:rPr>
          <w:rFonts w:ascii="Arial" w:eastAsia="Arial" w:hAnsi="Arial" w:cs="Arial"/>
          <w:color w:val="323E4F"/>
          <w:sz w:val="20"/>
          <w:szCs w:val="20"/>
        </w:rPr>
        <w:t>pproximate points available are as follows:</w:t>
      </w:r>
    </w:p>
    <w:p w14:paraId="0ED31F72" w14:textId="77777777" w:rsidR="00C11B80" w:rsidRDefault="00C11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323E4F"/>
          <w:sz w:val="20"/>
          <w:szCs w:val="20"/>
        </w:rPr>
      </w:pPr>
    </w:p>
    <w:tbl>
      <w:tblPr>
        <w:tblStyle w:val="a"/>
        <w:tblW w:w="9337" w:type="dxa"/>
        <w:tblInd w:w="143" w:type="dxa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2565"/>
      </w:tblGrid>
      <w:tr w:rsidR="00C11B80" w14:paraId="1F047DD2" w14:textId="77777777">
        <w:trPr>
          <w:trHeight w:val="318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546A1BB3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Peregrine Course Leveling Module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05B58037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50</w:t>
            </w:r>
          </w:p>
        </w:tc>
      </w:tr>
      <w:tr w:rsidR="00C11B80" w14:paraId="09858C58" w14:textId="77777777">
        <w:trPr>
          <w:trHeight w:val="317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0A5BB1D7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Weekly post and responses to fellow student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7AC242B1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280</w:t>
            </w:r>
          </w:p>
        </w:tc>
      </w:tr>
      <w:tr w:rsidR="00C11B80" w14:paraId="3FE0700C" w14:textId="77777777">
        <w:trPr>
          <w:trHeight w:val="317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6365D22D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323E4F"/>
                <w:sz w:val="20"/>
                <w:szCs w:val="20"/>
              </w:rPr>
              <w:t xml:space="preserve">CESIM Global Challenge </w:t>
            </w: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Simulation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543CE9C1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320</w:t>
            </w:r>
          </w:p>
        </w:tc>
      </w:tr>
      <w:tr w:rsidR="00C11B80" w14:paraId="607F4027" w14:textId="77777777">
        <w:trPr>
          <w:trHeight w:val="319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20375B85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Interview Paper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06BECB05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100</w:t>
            </w:r>
          </w:p>
        </w:tc>
      </w:tr>
      <w:tr w:rsidR="00C11B80" w14:paraId="71EAC493" w14:textId="77777777">
        <w:trPr>
          <w:trHeight w:val="317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0CCD00FF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Final Case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2FABEE89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50</w:t>
            </w:r>
          </w:p>
        </w:tc>
      </w:tr>
      <w:tr w:rsidR="00C11B80" w14:paraId="4811BE25" w14:textId="77777777">
        <w:trPr>
          <w:trHeight w:val="317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56842E31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Midterm/Final Exam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27ECF222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200</w:t>
            </w:r>
          </w:p>
        </w:tc>
      </w:tr>
      <w:tr w:rsidR="00C11B80" w14:paraId="50662F3F" w14:textId="77777777">
        <w:trPr>
          <w:trHeight w:val="317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F0F0F0"/>
            </w:tcBorders>
          </w:tcPr>
          <w:p w14:paraId="6BB86954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Survey and Evaluation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1CADBE31" w14:textId="77777777" w:rsidR="00C11B80" w:rsidRDefault="00C11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right="106" w:hanging="123"/>
              <w:jc w:val="right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</w:p>
        </w:tc>
      </w:tr>
      <w:tr w:rsidR="00C11B80" w14:paraId="5E6D5B2B" w14:textId="77777777">
        <w:trPr>
          <w:trHeight w:val="318"/>
        </w:trPr>
        <w:tc>
          <w:tcPr>
            <w:tcW w:w="6772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7B2F6EBB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6" w:lineRule="auto"/>
              <w:ind w:left="123"/>
              <w:rPr>
                <w:rFonts w:ascii="Arial" w:eastAsia="Arial" w:hAnsi="Arial" w:cs="Arial"/>
                <w:b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E4F"/>
                <w:sz w:val="20"/>
                <w:szCs w:val="20"/>
              </w:rPr>
              <w:t>Total Points Available</w:t>
            </w:r>
          </w:p>
        </w:tc>
        <w:tc>
          <w:tcPr>
            <w:tcW w:w="2565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65B7FCE2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6" w:lineRule="auto"/>
              <w:ind w:right="106" w:hanging="123"/>
              <w:jc w:val="right"/>
              <w:rPr>
                <w:rFonts w:ascii="Arial" w:eastAsia="Arial" w:hAnsi="Arial" w:cs="Arial"/>
                <w:b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E4F"/>
                <w:sz w:val="20"/>
                <w:szCs w:val="20"/>
              </w:rPr>
              <w:t>1,000</w:t>
            </w:r>
          </w:p>
        </w:tc>
      </w:tr>
    </w:tbl>
    <w:p w14:paraId="244F5E22" w14:textId="77777777" w:rsidR="00C11B80" w:rsidRDefault="00C11B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23E4F"/>
          <w:sz w:val="20"/>
          <w:szCs w:val="20"/>
        </w:rPr>
      </w:pPr>
    </w:p>
    <w:p w14:paraId="13DB0C35" w14:textId="77777777" w:rsidR="00C11B80" w:rsidRDefault="00C11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eastAsia="Arial" w:hAnsi="Arial" w:cs="Arial"/>
          <w:color w:val="323E4F"/>
          <w:sz w:val="20"/>
          <w:szCs w:val="20"/>
        </w:rPr>
      </w:pPr>
    </w:p>
    <w:p w14:paraId="556FF62A" w14:textId="77777777" w:rsidR="00C11B80" w:rsidRDefault="008323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"/>
        <w:rPr>
          <w:rFonts w:ascii="Arial" w:eastAsia="Arial" w:hAnsi="Arial" w:cs="Arial"/>
          <w:color w:val="323E4F"/>
          <w:sz w:val="20"/>
          <w:szCs w:val="20"/>
        </w:rPr>
      </w:pPr>
      <w:r>
        <w:rPr>
          <w:rFonts w:ascii="Arial" w:eastAsia="Arial" w:hAnsi="Arial" w:cs="Arial"/>
          <w:b/>
          <w:color w:val="323E4F"/>
          <w:sz w:val="20"/>
          <w:szCs w:val="20"/>
        </w:rPr>
        <w:t xml:space="preserve">Grading: </w:t>
      </w:r>
      <w:r>
        <w:rPr>
          <w:rFonts w:ascii="Arial" w:eastAsia="Arial" w:hAnsi="Arial" w:cs="Arial"/>
          <w:color w:val="323E4F"/>
          <w:sz w:val="20"/>
          <w:szCs w:val="20"/>
        </w:rPr>
        <w:t>The following represents the general grading policy for this class:</w:t>
      </w:r>
    </w:p>
    <w:p w14:paraId="434389D7" w14:textId="77777777" w:rsidR="00C11B80" w:rsidRDefault="00C11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color w:val="323E4F"/>
          <w:sz w:val="20"/>
          <w:szCs w:val="20"/>
        </w:rPr>
      </w:pPr>
    </w:p>
    <w:tbl>
      <w:tblPr>
        <w:tblStyle w:val="a0"/>
        <w:tblW w:w="5370" w:type="dxa"/>
        <w:tblInd w:w="2639" w:type="dxa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12"/>
        <w:gridCol w:w="2137"/>
        <w:gridCol w:w="773"/>
      </w:tblGrid>
      <w:tr w:rsidR="00C11B80" w14:paraId="1F1434BB" w14:textId="77777777">
        <w:trPr>
          <w:trHeight w:val="318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110BDC1E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93.0-100.0%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0F082AAA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left="10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A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47598556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left="484" w:right="47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73.0-76.9%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505D1C51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87" w:lineRule="auto"/>
              <w:ind w:left="10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C</w:t>
            </w:r>
          </w:p>
        </w:tc>
      </w:tr>
      <w:tr w:rsidR="00C11B80" w14:paraId="06AA15A6" w14:textId="77777777">
        <w:trPr>
          <w:trHeight w:val="317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6537B396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90.0-92.9%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24F1708A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242" w:right="23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A-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5D7718F3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484" w:right="47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70.0-72.9%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3D0512AC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215" w:right="204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C-</w:t>
            </w:r>
          </w:p>
        </w:tc>
      </w:tr>
      <w:tr w:rsidR="00C11B80" w14:paraId="49240CAB" w14:textId="77777777">
        <w:trPr>
          <w:trHeight w:val="317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460D2785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87.0-89.9%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01B1E539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left="242" w:right="234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B+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20B36F43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left="484" w:right="47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67.0-69.9%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1EC00F9F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4" w:lineRule="auto"/>
              <w:ind w:left="216" w:right="204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D+</w:t>
            </w:r>
          </w:p>
        </w:tc>
      </w:tr>
      <w:tr w:rsidR="00C11B80" w14:paraId="2429B677" w14:textId="77777777">
        <w:trPr>
          <w:trHeight w:val="319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0706E806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83.0-86.9%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2EFFD0DF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left="1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B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26FCD8AD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left="484" w:right="47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63.0-66.9%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4D111A45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87" w:lineRule="auto"/>
              <w:ind w:left="1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D</w:t>
            </w:r>
          </w:p>
        </w:tc>
      </w:tr>
      <w:tr w:rsidR="00C11B80" w14:paraId="3A0C1005" w14:textId="77777777">
        <w:trPr>
          <w:trHeight w:val="317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6F49AE32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80.0-82.9%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78ACB27D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241" w:right="234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B-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14486F35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484" w:right="471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60.0-62.9%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39DEF93B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7" w:lineRule="auto"/>
              <w:ind w:left="216" w:right="203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D-</w:t>
            </w:r>
          </w:p>
        </w:tc>
      </w:tr>
      <w:tr w:rsidR="00C11B80" w14:paraId="51A72CBF" w14:textId="77777777">
        <w:trPr>
          <w:trHeight w:val="318"/>
        </w:trPr>
        <w:tc>
          <w:tcPr>
            <w:tcW w:w="1648" w:type="dxa"/>
            <w:tcBorders>
              <w:top w:val="single" w:sz="4" w:space="0" w:color="A1A1A1"/>
              <w:left w:val="single" w:sz="4" w:space="0" w:color="F0F0F0"/>
              <w:bottom w:val="single" w:sz="4" w:space="0" w:color="A1A1A1"/>
              <w:right w:val="single" w:sz="4" w:space="0" w:color="A1A1A1"/>
            </w:tcBorders>
          </w:tcPr>
          <w:p w14:paraId="7BCF6382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8" w:lineRule="auto"/>
              <w:ind w:left="123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77.0-79.9%</w:t>
            </w:r>
          </w:p>
        </w:tc>
        <w:tc>
          <w:tcPr>
            <w:tcW w:w="812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5E296E4E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8" w:lineRule="auto"/>
              <w:ind w:left="240" w:right="234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C+</w:t>
            </w:r>
          </w:p>
        </w:tc>
        <w:tc>
          <w:tcPr>
            <w:tcW w:w="2137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76799EBE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8" w:lineRule="auto"/>
              <w:ind w:left="480" w:right="471" w:hanging="122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0-59.9%</w:t>
            </w:r>
          </w:p>
        </w:tc>
        <w:tc>
          <w:tcPr>
            <w:tcW w:w="773" w:type="dxa"/>
            <w:tcBorders>
              <w:top w:val="single" w:sz="4" w:space="0" w:color="A1A1A1"/>
              <w:left w:val="single" w:sz="4" w:space="0" w:color="A1A1A1"/>
              <w:bottom w:val="single" w:sz="4" w:space="0" w:color="A1A1A1"/>
              <w:right w:val="single" w:sz="4" w:space="0" w:color="A1A1A1"/>
            </w:tcBorders>
          </w:tcPr>
          <w:p w14:paraId="32CBDB41" w14:textId="77777777" w:rsidR="00C11B80" w:rsidRDefault="00832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88" w:lineRule="auto"/>
              <w:ind w:left="12" w:hanging="123"/>
              <w:jc w:val="center"/>
              <w:rPr>
                <w:rFonts w:ascii="Arial" w:eastAsia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E4F"/>
                <w:sz w:val="20"/>
                <w:szCs w:val="20"/>
              </w:rPr>
              <w:t>F</w:t>
            </w:r>
          </w:p>
        </w:tc>
      </w:tr>
    </w:tbl>
    <w:p w14:paraId="156C76F4" w14:textId="77777777" w:rsidR="00C11B80" w:rsidRDefault="00C11B80">
      <w:pPr>
        <w:rPr>
          <w:rFonts w:ascii="Arial" w:eastAsia="Arial" w:hAnsi="Arial" w:cs="Arial"/>
          <w:color w:val="323E4F"/>
          <w:sz w:val="24"/>
          <w:szCs w:val="24"/>
        </w:rPr>
        <w:sectPr w:rsidR="00C11B80">
          <w:pgSz w:w="12240" w:h="15840"/>
          <w:pgMar w:top="680" w:right="400" w:bottom="840" w:left="1180" w:header="0" w:footer="655" w:gutter="0"/>
          <w:pgNumType w:start="1"/>
          <w:cols w:space="720" w:equalWidth="0">
            <w:col w:w="9360"/>
          </w:cols>
        </w:sectPr>
      </w:pPr>
    </w:p>
    <w:p w14:paraId="7D1C20C4" w14:textId="77777777" w:rsidR="00C11B80" w:rsidRDefault="00C11B80">
      <w:pPr>
        <w:rPr>
          <w:b/>
        </w:rPr>
      </w:pPr>
    </w:p>
    <w:sectPr w:rsidR="00C11B80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09DB"/>
    <w:multiLevelType w:val="multilevel"/>
    <w:tmpl w:val="6F5CB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656434"/>
    <w:multiLevelType w:val="multilevel"/>
    <w:tmpl w:val="D3D2A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F30C39"/>
    <w:multiLevelType w:val="multilevel"/>
    <w:tmpl w:val="4E102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B8E1212"/>
    <w:multiLevelType w:val="multilevel"/>
    <w:tmpl w:val="E5848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80"/>
    <w:rsid w:val="0083236D"/>
    <w:rsid w:val="00C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73784"/>
  <w15:docId w15:val="{B63BAF8F-D598-F441-8B24-1F2F746E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E554F1"/>
    <w:pPr>
      <w:widowControl w:val="0"/>
      <w:autoSpaceDE w:val="0"/>
      <w:autoSpaceDN w:val="0"/>
      <w:spacing w:after="0" w:line="240" w:lineRule="auto"/>
      <w:ind w:left="260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294403"/>
    <w:rPr>
      <w:b/>
      <w:bCs/>
    </w:rPr>
  </w:style>
  <w:style w:type="paragraph" w:styleId="ListParagraph">
    <w:name w:val="List Paragraph"/>
    <w:basedOn w:val="Normal"/>
    <w:uiPriority w:val="34"/>
    <w:qFormat/>
    <w:rsid w:val="00007E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E554F1"/>
    <w:rPr>
      <w:rFonts w:ascii="Carlito" w:eastAsia="Carlito" w:hAnsi="Carlito" w:cs="Carlit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554F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554F1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54F1"/>
    <w:pPr>
      <w:widowControl w:val="0"/>
      <w:autoSpaceDE w:val="0"/>
      <w:autoSpaceDN w:val="0"/>
      <w:spacing w:before="10" w:after="0" w:line="287" w:lineRule="exact"/>
      <w:ind w:left="123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96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62E4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TgjXeLDIyLQNVAhTbpypxIE2A==">AMUW2mUoU0j7/01Mo/gXND+q4WtHoFmg6FbEFjPvfZ+0EACczd4rpGX+nVnR/HhTiB5DSTMF5Ts7enUj7BMRL1wL8HzuMVSVrlqZIuued1UainI6Na22YeqSLVxrOInDyWczlbKiF8nFEMCHGZvKlwtKUSr5d+SMhd6c66jl5qaMPHW2/Ika0aU=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Marvel</dc:creator>
  <cp:lastModifiedBy>Jo Clemmons</cp:lastModifiedBy>
  <cp:revision>2</cp:revision>
  <dcterms:created xsi:type="dcterms:W3CDTF">2020-05-18T21:49:00Z</dcterms:created>
  <dcterms:modified xsi:type="dcterms:W3CDTF">2020-05-30T22:05:00Z</dcterms:modified>
</cp:coreProperties>
</file>